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63B6" w14:textId="77777777" w:rsidR="007C3187" w:rsidRDefault="00B64E1A">
      <w:pPr>
        <w:spacing w:after="0" w:line="240" w:lineRule="auto"/>
        <w:jc w:val="center"/>
        <w:rPr>
          <w:rFonts w:ascii="Calibri" w:hAnsi="Calibri"/>
        </w:rPr>
      </w:pPr>
      <w:r>
        <w:rPr>
          <w:rFonts w:cs="Times New Roman"/>
          <w:b/>
          <w:bCs/>
          <w:caps/>
          <w:sz w:val="24"/>
          <w:szCs w:val="24"/>
          <w:u w:val="single"/>
        </w:rPr>
        <w:t>KİŞİSEL VERİLERİN KORUNMASINA DAİR PROTOKOL</w:t>
      </w:r>
    </w:p>
    <w:p w14:paraId="41D7075F" w14:textId="77777777" w:rsidR="007C3187" w:rsidRDefault="007C3187">
      <w:pPr>
        <w:spacing w:after="0" w:line="240" w:lineRule="auto"/>
        <w:jc w:val="center"/>
        <w:rPr>
          <w:rFonts w:ascii="Calibri" w:hAnsi="Calibri" w:cs="Times New Roman"/>
          <w:b/>
          <w:bCs/>
          <w:caps/>
          <w:sz w:val="24"/>
          <w:szCs w:val="24"/>
          <w:u w:val="single"/>
        </w:rPr>
      </w:pPr>
    </w:p>
    <w:p w14:paraId="7142A193" w14:textId="5D6932AE" w:rsidR="007C3187" w:rsidRDefault="00605F92">
      <w:pPr>
        <w:spacing w:line="240" w:lineRule="auto"/>
        <w:jc w:val="both"/>
      </w:pPr>
      <w:r>
        <w:rPr>
          <w:rFonts w:cs="Times New Roman"/>
          <w:sz w:val="24"/>
          <w:szCs w:val="24"/>
        </w:rPr>
        <w:t>Bayburt</w:t>
      </w:r>
      <w:r w:rsidR="00B64E1A">
        <w:rPr>
          <w:rFonts w:cs="Times New Roman"/>
          <w:sz w:val="24"/>
          <w:szCs w:val="24"/>
        </w:rPr>
        <w:t xml:space="preserve"> Belediye Başkanlığı </w:t>
      </w:r>
      <w:r w:rsidR="00B64E1A">
        <w:rPr>
          <w:rFonts w:cs="Times New Roman"/>
          <w:color w:val="000000"/>
          <w:sz w:val="24"/>
          <w:szCs w:val="24"/>
        </w:rPr>
        <w:t xml:space="preserve">(Bundan sonra </w:t>
      </w:r>
      <w:r w:rsidR="00B64E1A">
        <w:rPr>
          <w:rFonts w:cs="Times New Roman"/>
          <w:b/>
          <w:bCs/>
          <w:color w:val="000000"/>
          <w:sz w:val="24"/>
          <w:szCs w:val="24"/>
        </w:rPr>
        <w:t>“Belediye”</w:t>
      </w:r>
      <w:r w:rsidR="00B64E1A">
        <w:rPr>
          <w:rFonts w:cs="Times New Roman"/>
          <w:color w:val="000000"/>
          <w:sz w:val="24"/>
          <w:szCs w:val="24"/>
        </w:rPr>
        <w:t xml:space="preserve"> olarak anılacaktır.) ile </w:t>
      </w:r>
      <w:r w:rsidR="00B64E1A">
        <w:rPr>
          <w:rFonts w:cs="Times New Roman"/>
          <w:color w:val="000000"/>
          <w:sz w:val="24"/>
          <w:szCs w:val="24"/>
        </w:rPr>
        <w:t>……………………………………</w:t>
      </w:r>
      <w:proofErr w:type="gramStart"/>
      <w:r w:rsidR="00B64E1A">
        <w:rPr>
          <w:rFonts w:cs="Times New Roman"/>
          <w:color w:val="000000"/>
          <w:sz w:val="24"/>
          <w:szCs w:val="24"/>
        </w:rPr>
        <w:t>…</w:t>
      </w:r>
      <w:r w:rsidR="00B64E1A">
        <w:rPr>
          <w:rFonts w:cs="Times New Roman"/>
          <w:color w:val="000000"/>
          <w:sz w:val="24"/>
          <w:szCs w:val="24"/>
        </w:rPr>
        <w:t>(</w:t>
      </w:r>
      <w:proofErr w:type="gramEnd"/>
      <w:r w:rsidR="00B64E1A">
        <w:rPr>
          <w:rFonts w:cs="Times New Roman"/>
          <w:color w:val="000000"/>
          <w:sz w:val="24"/>
          <w:szCs w:val="24"/>
        </w:rPr>
        <w:t xml:space="preserve">Bundan sonra “ŞİRKET” olarak anılacaktır.) arasında imzalanan </w:t>
      </w:r>
      <w:r w:rsidR="00B64E1A">
        <w:rPr>
          <w:rFonts w:cs="Times New Roman"/>
          <w:color w:val="000000"/>
          <w:sz w:val="24"/>
          <w:szCs w:val="24"/>
        </w:rPr>
        <w:t>………….</w:t>
      </w:r>
      <w:r w:rsidR="00B64E1A">
        <w:rPr>
          <w:rFonts w:cs="Times New Roman"/>
          <w:color w:val="000000"/>
          <w:sz w:val="24"/>
          <w:szCs w:val="24"/>
        </w:rPr>
        <w:t xml:space="preserve"> </w:t>
      </w:r>
      <w:proofErr w:type="gramStart"/>
      <w:r w:rsidR="00B64E1A">
        <w:rPr>
          <w:rFonts w:cs="Times New Roman"/>
          <w:color w:val="000000"/>
          <w:sz w:val="24"/>
          <w:szCs w:val="24"/>
        </w:rPr>
        <w:t>tarihli</w:t>
      </w:r>
      <w:proofErr w:type="gramEnd"/>
      <w:r w:rsidR="00B64E1A">
        <w:rPr>
          <w:rFonts w:cs="Times New Roman"/>
          <w:color w:val="000000"/>
          <w:sz w:val="24"/>
          <w:szCs w:val="24"/>
        </w:rPr>
        <w:t xml:space="preserve"> sözleşmeye/sözleşmelere ek olmak üzere işbu Ek Protokol </w:t>
      </w:r>
      <w:r>
        <w:rPr>
          <w:rFonts w:cs="Times New Roman"/>
          <w:color w:val="000000"/>
          <w:sz w:val="24"/>
          <w:szCs w:val="24"/>
        </w:rPr>
        <w:t>Bayburt</w:t>
      </w:r>
      <w:r w:rsidR="00B64E1A">
        <w:rPr>
          <w:rFonts w:cs="Times New Roman"/>
          <w:color w:val="000000"/>
          <w:sz w:val="24"/>
          <w:szCs w:val="24"/>
        </w:rPr>
        <w:t xml:space="preserve"> </w:t>
      </w:r>
      <w:r w:rsidR="00B64E1A">
        <w:rPr>
          <w:rFonts w:eastAsia="Calibri" w:cs="Times New Roman"/>
          <w:color w:val="000000"/>
          <w:sz w:val="24"/>
          <w:szCs w:val="24"/>
        </w:rPr>
        <w:t xml:space="preserve">Belediye Başkanlığı </w:t>
      </w:r>
      <w:r w:rsidR="00B64E1A">
        <w:rPr>
          <w:rFonts w:cs="Times New Roman"/>
          <w:color w:val="000000"/>
          <w:sz w:val="24"/>
          <w:szCs w:val="24"/>
        </w:rPr>
        <w:t>ve ŞİRKET tarafından düzenlenmiştir.</w:t>
      </w:r>
      <w:r w:rsidR="00B64E1A">
        <w:rPr>
          <w:rFonts w:eastAsia="Times New Roman" w:cs="Times New Roman"/>
          <w:color w:val="000000"/>
          <w:sz w:val="24"/>
          <w:szCs w:val="24"/>
        </w:rPr>
        <w:t xml:space="preserve"> </w:t>
      </w:r>
      <w:r>
        <w:rPr>
          <w:rFonts w:cs="Times New Roman"/>
          <w:color w:val="000000"/>
          <w:sz w:val="24"/>
          <w:szCs w:val="24"/>
        </w:rPr>
        <w:t>Bayburt</w:t>
      </w:r>
      <w:r w:rsidR="00B64E1A">
        <w:rPr>
          <w:rFonts w:eastAsia="Times New Roman" w:cs="Times New Roman"/>
          <w:color w:val="000000"/>
          <w:sz w:val="24"/>
          <w:szCs w:val="24"/>
        </w:rPr>
        <w:t xml:space="preserve"> Belediye Başkanlığı</w:t>
      </w:r>
      <w:r w:rsidR="00B64E1A">
        <w:rPr>
          <w:rFonts w:cs="Times New Roman"/>
          <w:color w:val="000000"/>
          <w:sz w:val="24"/>
          <w:szCs w:val="24"/>
        </w:rPr>
        <w:t xml:space="preserve"> ve ŞİRKET </w:t>
      </w:r>
      <w:r w:rsidR="00B64E1A">
        <w:rPr>
          <w:rFonts w:eastAsia="Times New Roman" w:cs="Times New Roman"/>
          <w:sz w:val="24"/>
          <w:szCs w:val="24"/>
        </w:rPr>
        <w:t>bundan böyle bir</w:t>
      </w:r>
      <w:r w:rsidR="00B64E1A">
        <w:rPr>
          <w:rFonts w:eastAsia="Times New Roman" w:cs="Times New Roman"/>
          <w:sz w:val="24"/>
          <w:szCs w:val="24"/>
        </w:rPr>
        <w:t>likte “Taraflar”, ayrı ayrı “Taraf” olarak anılacaktır.</w:t>
      </w:r>
    </w:p>
    <w:p w14:paraId="243D6AFB" w14:textId="77777777" w:rsidR="007C3187" w:rsidRDefault="00B64E1A">
      <w:pPr>
        <w:spacing w:line="240" w:lineRule="auto"/>
        <w:jc w:val="both"/>
        <w:rPr>
          <w:rFonts w:ascii="Calibri" w:hAnsi="Calibri"/>
        </w:rPr>
      </w:pPr>
      <w:r>
        <w:rPr>
          <w:rFonts w:eastAsia="Times New Roman" w:cs="Times New Roman"/>
          <w:b/>
          <w:sz w:val="24"/>
          <w:szCs w:val="24"/>
        </w:rPr>
        <w:t>Madde 1. Protokolün Konusu</w:t>
      </w:r>
    </w:p>
    <w:p w14:paraId="633DEC48" w14:textId="77777777" w:rsidR="007C3187" w:rsidRDefault="00B64E1A">
      <w:pPr>
        <w:spacing w:line="240" w:lineRule="auto"/>
        <w:jc w:val="both"/>
        <w:rPr>
          <w:rFonts w:ascii="Calibri" w:hAnsi="Calibri"/>
        </w:rPr>
      </w:pPr>
      <w:r>
        <w:rPr>
          <w:rFonts w:eastAsia="Times New Roman" w:cs="Times New Roman"/>
          <w:sz w:val="24"/>
          <w:szCs w:val="24"/>
        </w:rPr>
        <w:t xml:space="preserve">İşbu protokolün konusu, </w:t>
      </w:r>
      <w:proofErr w:type="spellStart"/>
      <w:r>
        <w:rPr>
          <w:rFonts w:eastAsia="Times New Roman" w:cs="Times New Roman"/>
          <w:sz w:val="24"/>
          <w:szCs w:val="24"/>
        </w:rPr>
        <w:t>ŞİRKET’in</w:t>
      </w:r>
      <w:proofErr w:type="spellEnd"/>
      <w:r>
        <w:rPr>
          <w:rFonts w:eastAsia="Times New Roman" w:cs="Times New Roman"/>
          <w:sz w:val="24"/>
          <w:szCs w:val="24"/>
        </w:rPr>
        <w:t xml:space="preserve"> 6698 sayılı Kişisel Verilerin Korunması Kanunu, ikincil düzenlemeleri ve Kişisel Verileri Koruma Kurulu’nun kararları doğrultusunda kişisel</w:t>
      </w:r>
      <w:r>
        <w:rPr>
          <w:rFonts w:eastAsia="Times New Roman" w:cs="Times New Roman"/>
          <w:sz w:val="24"/>
          <w:szCs w:val="24"/>
        </w:rPr>
        <w:t xml:space="preserve"> verilere ilişkin yükümlülüklerinin düzenlenmesidir.</w:t>
      </w:r>
    </w:p>
    <w:p w14:paraId="599E82D6" w14:textId="77777777" w:rsidR="007C3187" w:rsidRDefault="00B64E1A">
      <w:pPr>
        <w:spacing w:before="120" w:line="240" w:lineRule="auto"/>
        <w:rPr>
          <w:rFonts w:ascii="Calibri" w:hAnsi="Calibri"/>
        </w:rPr>
      </w:pPr>
      <w:r>
        <w:rPr>
          <w:rFonts w:cs="Times New Roman"/>
          <w:b/>
          <w:sz w:val="24"/>
          <w:szCs w:val="24"/>
        </w:rPr>
        <w:t>Madde 2. 6698 sayılı Kişisel Verilerin Korunması Kanunu’na İlişkin Hükümler:</w:t>
      </w:r>
    </w:p>
    <w:p w14:paraId="310E2F2C" w14:textId="0E2B27AD" w:rsidR="007C3187" w:rsidRDefault="00B64E1A">
      <w:pPr>
        <w:pStyle w:val="ListeParagraf"/>
        <w:numPr>
          <w:ilvl w:val="0"/>
          <w:numId w:val="1"/>
        </w:numPr>
        <w:spacing w:before="120" w:after="60" w:line="240" w:lineRule="auto"/>
        <w:jc w:val="both"/>
      </w:pPr>
      <w:r>
        <w:rPr>
          <w:rFonts w:cs="Times New Roman"/>
          <w:iCs/>
          <w:color w:val="000000"/>
          <w:sz w:val="24"/>
          <w:szCs w:val="24"/>
        </w:rPr>
        <w:t xml:space="preserve">ŞİRKET kendisi ile paylaşılacak olan ve 6698 sayılı Yasa ve ilgili sair yasalar kapsamında Kişisel Veri ve Özel Nitelikli Kişisel Veri (birlikte Kişisel Veriler olarak anılacaktır) olarak tanımlanan her türlü veriyi ancak ve sadece </w:t>
      </w:r>
      <w:r w:rsidR="00605F92">
        <w:rPr>
          <w:rFonts w:cs="Times New Roman"/>
          <w:color w:val="000000"/>
          <w:sz w:val="24"/>
          <w:szCs w:val="24"/>
        </w:rPr>
        <w:t>Bayburt</w:t>
      </w:r>
      <w:r>
        <w:rPr>
          <w:rFonts w:eastAsia="Calibri" w:cs="Times New Roman"/>
          <w:iCs/>
          <w:color w:val="000000"/>
          <w:sz w:val="24"/>
          <w:szCs w:val="24"/>
        </w:rPr>
        <w:t xml:space="preserve"> </w:t>
      </w:r>
      <w:r>
        <w:rPr>
          <w:rFonts w:cs="Times New Roman"/>
          <w:iCs/>
          <w:color w:val="000000"/>
          <w:sz w:val="24"/>
          <w:szCs w:val="24"/>
        </w:rPr>
        <w:t>Belediyesi ile</w:t>
      </w:r>
      <w:r>
        <w:rPr>
          <w:rFonts w:cs="Times New Roman"/>
          <w:iCs/>
          <w:color w:val="000000"/>
          <w:sz w:val="24"/>
          <w:szCs w:val="24"/>
        </w:rPr>
        <w:t xml:space="preserve"> arasındaki </w:t>
      </w:r>
      <w:r>
        <w:rPr>
          <w:rFonts w:cs="Times New Roman"/>
          <w:iCs/>
          <w:color w:val="000000"/>
          <w:sz w:val="24"/>
          <w:szCs w:val="24"/>
        </w:rPr>
        <w:t>………………</w:t>
      </w:r>
      <w:r>
        <w:rPr>
          <w:rFonts w:cs="Times New Roman"/>
          <w:iCs/>
          <w:color w:val="000000"/>
          <w:sz w:val="24"/>
          <w:szCs w:val="24"/>
        </w:rPr>
        <w:t xml:space="preserve"> sözleşmesinin ifası kapsamında kullanmakla yükümlüdür. ŞİRKET işbu verileri, sözleşme ile izin verilen ve aktarım şartlarını taşıyan haller hariç olmak üzere hiçbir şekilde üçüncü kişi ya da kurumlara aktaramaz veya başka bir amaçla başk</w:t>
      </w:r>
      <w:r>
        <w:rPr>
          <w:rFonts w:cs="Times New Roman"/>
          <w:iCs/>
          <w:color w:val="000000"/>
          <w:sz w:val="24"/>
          <w:szCs w:val="24"/>
        </w:rPr>
        <w:t xml:space="preserve">a bir sözleşme ilişkisinde veya sair ticari olan veya olmayan herhangi bir faaliyette kullanamaz. Bu bilgilerin gizliliğinin sağlanmasından bizzat ŞİRKET sorumludur. ŞİRKET, yapılan çalışmalar sonucunda edindiği Kişisel Verileri ve bu verilerle ilgili tüm </w:t>
      </w:r>
      <w:r>
        <w:rPr>
          <w:rFonts w:cs="Times New Roman"/>
          <w:iCs/>
          <w:color w:val="000000"/>
          <w:sz w:val="24"/>
          <w:szCs w:val="24"/>
        </w:rPr>
        <w:t>belgeleri, araç ve gereçleri ve sair tüm unsurları, amacı dışında, başka bir sözleşme ilişkisinde veya sair herhangi bir işte kullanamaz, işleyemez, dağıtamaz, üçüncü kişilere ya da kurumlara ya da yurtdışına aktaramaz ve sair herhangi bir surette işleyeme</w:t>
      </w:r>
      <w:r>
        <w:rPr>
          <w:rFonts w:cs="Times New Roman"/>
          <w:iCs/>
          <w:color w:val="000000"/>
          <w:sz w:val="24"/>
          <w:szCs w:val="24"/>
        </w:rPr>
        <w:t>z.</w:t>
      </w:r>
    </w:p>
    <w:p w14:paraId="08348640" w14:textId="77777777" w:rsidR="007C3187" w:rsidRDefault="007C3187">
      <w:pPr>
        <w:spacing w:before="120" w:after="60" w:line="240" w:lineRule="auto"/>
        <w:jc w:val="both"/>
        <w:rPr>
          <w:rFonts w:ascii="Calibri" w:hAnsi="Calibri" w:cs="Times New Roman"/>
          <w:iCs/>
          <w:color w:val="000000"/>
          <w:sz w:val="24"/>
          <w:szCs w:val="24"/>
        </w:rPr>
      </w:pPr>
    </w:p>
    <w:p w14:paraId="620F01DE" w14:textId="638183B2" w:rsidR="007C3187" w:rsidRDefault="00B64E1A">
      <w:pPr>
        <w:pStyle w:val="ListeParagraf"/>
        <w:numPr>
          <w:ilvl w:val="0"/>
          <w:numId w:val="1"/>
        </w:numPr>
        <w:spacing w:after="240" w:line="240" w:lineRule="auto"/>
        <w:jc w:val="both"/>
      </w:pPr>
      <w:r>
        <w:rPr>
          <w:rFonts w:cs="Times New Roman"/>
          <w:iCs/>
          <w:color w:val="000000"/>
          <w:sz w:val="24"/>
          <w:szCs w:val="24"/>
        </w:rPr>
        <w:t>ŞİRKET,</w:t>
      </w:r>
      <w:r w:rsidR="00605F92">
        <w:rPr>
          <w:rFonts w:cs="Times New Roman"/>
          <w:iCs/>
          <w:color w:val="000000"/>
          <w:sz w:val="24"/>
          <w:szCs w:val="24"/>
        </w:rPr>
        <w:t xml:space="preserve"> </w:t>
      </w:r>
      <w:r w:rsidR="00605F92">
        <w:rPr>
          <w:rFonts w:cs="Times New Roman"/>
          <w:color w:val="000000"/>
          <w:sz w:val="24"/>
          <w:szCs w:val="24"/>
        </w:rPr>
        <w:t>Bayburt</w:t>
      </w:r>
      <w:r>
        <w:rPr>
          <w:rFonts w:eastAsia="Calibri" w:cs="Times New Roman"/>
          <w:iCs/>
          <w:color w:val="000000"/>
          <w:sz w:val="24"/>
          <w:szCs w:val="24"/>
        </w:rPr>
        <w:t xml:space="preserve"> </w:t>
      </w:r>
      <w:r>
        <w:rPr>
          <w:rFonts w:cs="Times New Roman"/>
          <w:iCs/>
          <w:color w:val="000000"/>
          <w:sz w:val="24"/>
          <w:szCs w:val="24"/>
        </w:rPr>
        <w:t>Belediyesi’nden edindiği kişisel verilerin korunması ile ilgili olarak 6698 sayılı Kanun’da düzenlenen tüm önlemleri almak, gizliliğini sağlamak, gizlilik esaslarına uygun hareket etmek, bu bilgilerin yetkisiz kişilerce kullanımını önl</w:t>
      </w:r>
      <w:r>
        <w:rPr>
          <w:rFonts w:cs="Times New Roman"/>
          <w:iCs/>
          <w:color w:val="000000"/>
          <w:sz w:val="24"/>
          <w:szCs w:val="24"/>
        </w:rPr>
        <w:t xml:space="preserve">emek ve her türlü </w:t>
      </w:r>
      <w:proofErr w:type="spellStart"/>
      <w:r>
        <w:rPr>
          <w:rFonts w:cs="Times New Roman"/>
          <w:iCs/>
          <w:color w:val="000000"/>
          <w:sz w:val="24"/>
          <w:szCs w:val="24"/>
        </w:rPr>
        <w:t>suistimâlden</w:t>
      </w:r>
      <w:proofErr w:type="spellEnd"/>
      <w:r>
        <w:rPr>
          <w:rFonts w:cs="Times New Roman"/>
          <w:iCs/>
          <w:color w:val="000000"/>
          <w:sz w:val="24"/>
          <w:szCs w:val="24"/>
        </w:rPr>
        <w:t xml:space="preserve"> korumak için  gerekli özeni göstermekle, her türlü önlemi almakla ve özel nitelikli kişisel verilerle ilgili olarak da Kişisel Verileri Koruma Kurulu’nun almış olduğu kişisel verilerin işlenmesinde alınacak önlemlere ilişkin </w:t>
      </w:r>
      <w:r>
        <w:rPr>
          <w:rFonts w:cs="Times New Roman"/>
          <w:iCs/>
          <w:color w:val="000000"/>
          <w:sz w:val="24"/>
          <w:szCs w:val="24"/>
        </w:rPr>
        <w:t>kararlardaki  tüm idari ve teknik tedbirleri yerine getirmekle ve çalışanlarını, danışmanlarını temsilcilerini ve kendi adına kişisel veriler ve özel nitelikli kişisel verileri işleyenleri Kanun ve uygulamaları hakkında eğitmekle, gerekli politika ve prose</w:t>
      </w:r>
      <w:r>
        <w:rPr>
          <w:rFonts w:cs="Times New Roman"/>
          <w:iCs/>
          <w:color w:val="000000"/>
          <w:sz w:val="24"/>
          <w:szCs w:val="24"/>
        </w:rPr>
        <w:t xml:space="preserve">dürleri hazırlayarak bunları uygulamaya sokmakla yükümlüdür. </w:t>
      </w:r>
      <w:proofErr w:type="spellStart"/>
      <w:r>
        <w:rPr>
          <w:rFonts w:cs="Times New Roman"/>
          <w:iCs/>
          <w:color w:val="000000"/>
          <w:sz w:val="24"/>
          <w:szCs w:val="24"/>
        </w:rPr>
        <w:t>ŞİRKET’in</w:t>
      </w:r>
      <w:proofErr w:type="spellEnd"/>
      <w:r>
        <w:rPr>
          <w:rFonts w:cs="Times New Roman"/>
          <w:iCs/>
          <w:color w:val="000000"/>
          <w:sz w:val="24"/>
          <w:szCs w:val="24"/>
        </w:rPr>
        <w:t xml:space="preserve"> bu yükümlülüğü, işbu protokolün sona ermesi halinde dahi süresiz olarak devam edecektir.</w:t>
      </w:r>
    </w:p>
    <w:p w14:paraId="74C77976" w14:textId="77777777" w:rsidR="007C3187" w:rsidRDefault="007C3187">
      <w:pPr>
        <w:pStyle w:val="ListeParagraf"/>
        <w:spacing w:after="240" w:line="240" w:lineRule="auto"/>
        <w:ind w:left="360"/>
        <w:jc w:val="both"/>
        <w:rPr>
          <w:rFonts w:ascii="Calibri" w:hAnsi="Calibri" w:cs="Times New Roman"/>
          <w:iCs/>
          <w:color w:val="000000"/>
          <w:sz w:val="24"/>
          <w:szCs w:val="24"/>
        </w:rPr>
      </w:pPr>
    </w:p>
    <w:p w14:paraId="238B9F93" w14:textId="51DACEA1" w:rsidR="007C3187" w:rsidRDefault="00B64E1A">
      <w:pPr>
        <w:pStyle w:val="ListeParagraf"/>
        <w:numPr>
          <w:ilvl w:val="0"/>
          <w:numId w:val="1"/>
        </w:numPr>
        <w:spacing w:after="240" w:line="240" w:lineRule="auto"/>
        <w:jc w:val="both"/>
      </w:pPr>
      <w:r>
        <w:rPr>
          <w:rFonts w:cs="Times New Roman"/>
          <w:iCs/>
          <w:color w:val="000000"/>
          <w:sz w:val="24"/>
          <w:szCs w:val="24"/>
        </w:rPr>
        <w:t>ŞİRKET, 6698 sayılı Kişisel Verilerin Korunması Kanunu’nda sayılan istisnalar hariç olmak üzere</w:t>
      </w:r>
      <w:r>
        <w:rPr>
          <w:rFonts w:cs="Times New Roman"/>
          <w:iCs/>
          <w:color w:val="000000"/>
          <w:sz w:val="24"/>
          <w:szCs w:val="24"/>
        </w:rPr>
        <w:t>, kişisel verilerin hukuka aykırı olarak işlenmesini önlemek, kişisel verilere hukuka aykırı olarak erişilmesini önlemek, kişisel verilerin muhafazasını sağlamak amacıyla Kişisel Verileri Koruma Kurulu’nun vereceği kararlar veya 6698 sayılı Kanun’a dayanıl</w:t>
      </w:r>
      <w:r>
        <w:rPr>
          <w:rFonts w:cs="Times New Roman"/>
          <w:iCs/>
          <w:color w:val="000000"/>
          <w:sz w:val="24"/>
          <w:szCs w:val="24"/>
        </w:rPr>
        <w:t xml:space="preserve">arak çıkarılacak yönetmelikler ve sair hukuki düzenlemeler kapsamında getirilebilecek standartlarda güvenlik düzeyini temin edici her türlü teknik ve idari tedbirleri almak zorundadır. Bu hükmün ihlali halinde doğabilecek her </w:t>
      </w:r>
      <w:r>
        <w:rPr>
          <w:rFonts w:cs="Times New Roman"/>
          <w:iCs/>
          <w:color w:val="000000"/>
          <w:sz w:val="24"/>
          <w:szCs w:val="24"/>
        </w:rPr>
        <w:lastRenderedPageBreak/>
        <w:t>türlü hukuki, idari ve cezai s</w:t>
      </w:r>
      <w:r>
        <w:rPr>
          <w:rFonts w:cs="Times New Roman"/>
          <w:iCs/>
          <w:color w:val="000000"/>
          <w:sz w:val="24"/>
          <w:szCs w:val="24"/>
        </w:rPr>
        <w:t xml:space="preserve">orumluluk </w:t>
      </w:r>
      <w:proofErr w:type="spellStart"/>
      <w:r>
        <w:rPr>
          <w:rFonts w:cs="Times New Roman"/>
          <w:iCs/>
          <w:color w:val="000000"/>
          <w:sz w:val="24"/>
          <w:szCs w:val="24"/>
        </w:rPr>
        <w:t>ŞİRKET’e</w:t>
      </w:r>
      <w:proofErr w:type="spellEnd"/>
      <w:r>
        <w:rPr>
          <w:rFonts w:cs="Times New Roman"/>
          <w:iCs/>
          <w:color w:val="000000"/>
          <w:sz w:val="24"/>
          <w:szCs w:val="24"/>
        </w:rPr>
        <w:t xml:space="preserve"> ait olup, bu hükümlerin ihlalinden doğacak her türlü zararın tazmini de yine </w:t>
      </w:r>
      <w:proofErr w:type="spellStart"/>
      <w:r>
        <w:rPr>
          <w:rFonts w:cs="Times New Roman"/>
          <w:iCs/>
          <w:color w:val="000000"/>
          <w:sz w:val="24"/>
          <w:szCs w:val="24"/>
        </w:rPr>
        <w:t>ŞİRKET’e</w:t>
      </w:r>
      <w:proofErr w:type="spellEnd"/>
      <w:r>
        <w:rPr>
          <w:rFonts w:cs="Times New Roman"/>
          <w:iCs/>
          <w:color w:val="000000"/>
          <w:sz w:val="24"/>
          <w:szCs w:val="24"/>
        </w:rPr>
        <w:t xml:space="preserve"> aittir. Ayrıca, sorumlular aleyhinde </w:t>
      </w:r>
      <w:r w:rsidR="00605F92">
        <w:rPr>
          <w:rFonts w:cs="Times New Roman"/>
          <w:color w:val="000000"/>
          <w:sz w:val="24"/>
          <w:szCs w:val="24"/>
        </w:rPr>
        <w:t>Bayburt</w:t>
      </w:r>
      <w:r>
        <w:rPr>
          <w:rFonts w:cs="Times New Roman"/>
          <w:iCs/>
          <w:color w:val="000000"/>
          <w:sz w:val="24"/>
          <w:szCs w:val="24"/>
        </w:rPr>
        <w:t xml:space="preserve"> Belediye Başkanlığı ve/veya zarara uğrayan kişiler tarafından Cumhuriyet Savcılığı’na suç duyurusunda bu</w:t>
      </w:r>
      <w:r>
        <w:rPr>
          <w:rFonts w:cs="Times New Roman"/>
          <w:iCs/>
          <w:color w:val="000000"/>
          <w:sz w:val="24"/>
          <w:szCs w:val="24"/>
        </w:rPr>
        <w:t>lunma veya Kişisel Verileri Koruma Kurulu’na başvurma hakları saklıdır.</w:t>
      </w:r>
    </w:p>
    <w:p w14:paraId="3E75A00C" w14:textId="77777777" w:rsidR="007C3187" w:rsidRDefault="007C3187">
      <w:pPr>
        <w:pStyle w:val="ListeParagraf"/>
        <w:spacing w:line="240" w:lineRule="auto"/>
        <w:rPr>
          <w:rFonts w:ascii="Calibri" w:hAnsi="Calibri" w:cs="Times New Roman"/>
          <w:iCs/>
          <w:color w:val="000000"/>
          <w:sz w:val="24"/>
          <w:szCs w:val="24"/>
        </w:rPr>
      </w:pPr>
    </w:p>
    <w:p w14:paraId="4189B770" w14:textId="77777777" w:rsidR="007C3187" w:rsidRDefault="007C3187">
      <w:pPr>
        <w:pStyle w:val="ListeParagraf"/>
        <w:spacing w:after="240" w:line="240" w:lineRule="auto"/>
        <w:ind w:left="360"/>
        <w:jc w:val="both"/>
        <w:rPr>
          <w:rFonts w:ascii="Calibri" w:hAnsi="Calibri" w:cs="Times New Roman"/>
          <w:iCs/>
          <w:color w:val="000000"/>
          <w:sz w:val="24"/>
          <w:szCs w:val="24"/>
        </w:rPr>
      </w:pPr>
    </w:p>
    <w:p w14:paraId="5B4F1DAD" w14:textId="3396260E" w:rsidR="007C3187" w:rsidRDefault="00B64E1A">
      <w:pPr>
        <w:pStyle w:val="ListeParagraf"/>
        <w:numPr>
          <w:ilvl w:val="0"/>
          <w:numId w:val="1"/>
        </w:numPr>
        <w:spacing w:after="240" w:line="240" w:lineRule="auto"/>
        <w:jc w:val="both"/>
      </w:pPr>
      <w:proofErr w:type="spellStart"/>
      <w:r>
        <w:rPr>
          <w:rFonts w:cs="Times New Roman"/>
          <w:iCs/>
          <w:color w:val="000000"/>
          <w:sz w:val="24"/>
          <w:szCs w:val="24"/>
        </w:rPr>
        <w:t>ŞİRKET’in</w:t>
      </w:r>
      <w:proofErr w:type="spellEnd"/>
      <w:r>
        <w:rPr>
          <w:rFonts w:cs="Times New Roman"/>
          <w:iCs/>
          <w:color w:val="000000"/>
          <w:sz w:val="24"/>
          <w:szCs w:val="24"/>
        </w:rPr>
        <w:t xml:space="preserve"> işbu hükümleri ihlal etmesi neticesinde; </w:t>
      </w:r>
      <w:r w:rsidR="00605F92">
        <w:rPr>
          <w:rFonts w:cs="Times New Roman"/>
          <w:color w:val="000000"/>
          <w:sz w:val="24"/>
          <w:szCs w:val="24"/>
        </w:rPr>
        <w:t>Bayburt</w:t>
      </w:r>
      <w:r>
        <w:rPr>
          <w:rFonts w:cs="Times New Roman"/>
          <w:iCs/>
          <w:color w:val="000000"/>
          <w:sz w:val="24"/>
          <w:szCs w:val="24"/>
        </w:rPr>
        <w:t xml:space="preserve"> Belediye Başkanlığı</w:t>
      </w:r>
      <w:r>
        <w:rPr>
          <w:rFonts w:cs="Times New Roman"/>
          <w:b/>
          <w:bCs/>
          <w:iCs/>
          <w:color w:val="000000"/>
          <w:sz w:val="24"/>
          <w:szCs w:val="24"/>
        </w:rPr>
        <w:t xml:space="preserve"> </w:t>
      </w:r>
      <w:r>
        <w:rPr>
          <w:rFonts w:cs="Times New Roman"/>
          <w:iCs/>
          <w:color w:val="000000"/>
          <w:sz w:val="24"/>
          <w:szCs w:val="24"/>
        </w:rPr>
        <w:t>idari para cezası ya da 3. kişilere tazminat ödemek zorunda kalır ise, işbu idari para cezası ve/veya</w:t>
      </w:r>
      <w:r>
        <w:rPr>
          <w:rFonts w:cs="Times New Roman"/>
          <w:iCs/>
          <w:color w:val="000000"/>
          <w:sz w:val="24"/>
          <w:szCs w:val="24"/>
        </w:rPr>
        <w:t xml:space="preserve"> tazminat tutarı ve ferileri </w:t>
      </w:r>
      <w:r w:rsidR="00605F92">
        <w:rPr>
          <w:rFonts w:cs="Times New Roman"/>
          <w:color w:val="000000"/>
          <w:sz w:val="24"/>
          <w:szCs w:val="24"/>
        </w:rPr>
        <w:t>Bayburt</w:t>
      </w:r>
      <w:r>
        <w:rPr>
          <w:rFonts w:eastAsia="Calibri" w:cs="Times New Roman"/>
          <w:iCs/>
          <w:color w:val="000000"/>
          <w:sz w:val="24"/>
          <w:szCs w:val="24"/>
        </w:rPr>
        <w:t xml:space="preserve"> </w:t>
      </w:r>
      <w:r>
        <w:rPr>
          <w:rFonts w:cs="Times New Roman"/>
          <w:iCs/>
          <w:color w:val="000000"/>
          <w:sz w:val="24"/>
          <w:szCs w:val="24"/>
        </w:rPr>
        <w:t xml:space="preserve">Belediye Başkanlığı tarafından </w:t>
      </w:r>
      <w:proofErr w:type="spellStart"/>
      <w:r>
        <w:rPr>
          <w:rFonts w:cs="Times New Roman"/>
          <w:iCs/>
          <w:color w:val="000000"/>
          <w:sz w:val="24"/>
          <w:szCs w:val="24"/>
        </w:rPr>
        <w:t>ŞİRKET’e</w:t>
      </w:r>
      <w:proofErr w:type="spellEnd"/>
      <w:r>
        <w:rPr>
          <w:rFonts w:cs="Times New Roman"/>
          <w:iCs/>
          <w:color w:val="000000"/>
          <w:sz w:val="24"/>
          <w:szCs w:val="24"/>
        </w:rPr>
        <w:t xml:space="preserve"> rücu edilecektir. </w:t>
      </w:r>
    </w:p>
    <w:p w14:paraId="05325576" w14:textId="77777777" w:rsidR="007C3187" w:rsidRDefault="007C3187">
      <w:pPr>
        <w:pStyle w:val="ListeParagraf"/>
        <w:spacing w:after="240" w:line="240" w:lineRule="auto"/>
        <w:ind w:left="360"/>
        <w:jc w:val="both"/>
        <w:rPr>
          <w:rFonts w:ascii="Calibri" w:hAnsi="Calibri" w:cs="Times New Roman"/>
          <w:iCs/>
          <w:color w:val="000000"/>
          <w:sz w:val="24"/>
          <w:szCs w:val="24"/>
        </w:rPr>
      </w:pPr>
    </w:p>
    <w:p w14:paraId="77053AA6" w14:textId="3E871FD9" w:rsidR="007C3187" w:rsidRDefault="00B64E1A">
      <w:pPr>
        <w:pStyle w:val="ListeParagraf"/>
        <w:numPr>
          <w:ilvl w:val="0"/>
          <w:numId w:val="1"/>
        </w:numPr>
        <w:spacing w:after="0" w:line="240" w:lineRule="auto"/>
        <w:jc w:val="both"/>
        <w:rPr>
          <w:rFonts w:ascii="Calibri" w:hAnsi="Calibri"/>
        </w:rPr>
      </w:pPr>
      <w:r>
        <w:rPr>
          <w:rFonts w:cs="Times New Roman"/>
          <w:iCs/>
          <w:color w:val="000000"/>
          <w:sz w:val="24"/>
          <w:szCs w:val="24"/>
        </w:rPr>
        <w:t>ŞİRKET, kendi şirket merkezi veya iştiraklerinde veya</w:t>
      </w:r>
      <w:r>
        <w:rPr>
          <w:rFonts w:eastAsia="Calibri" w:cs="Times New Roman"/>
          <w:iCs/>
          <w:color w:val="000000"/>
          <w:sz w:val="24"/>
          <w:szCs w:val="24"/>
        </w:rPr>
        <w:t xml:space="preserve"> </w:t>
      </w:r>
      <w:r w:rsidR="00605F92">
        <w:rPr>
          <w:rFonts w:cs="Times New Roman"/>
          <w:color w:val="000000"/>
          <w:sz w:val="24"/>
          <w:szCs w:val="24"/>
        </w:rPr>
        <w:t>Bayburt</w:t>
      </w:r>
      <w:r>
        <w:rPr>
          <w:rFonts w:eastAsia="Calibri" w:cs="Times New Roman"/>
          <w:iCs/>
          <w:color w:val="000000"/>
          <w:sz w:val="24"/>
          <w:szCs w:val="24"/>
        </w:rPr>
        <w:t xml:space="preserve"> </w:t>
      </w:r>
      <w:r>
        <w:rPr>
          <w:rFonts w:cs="Times New Roman"/>
          <w:iCs/>
          <w:color w:val="000000"/>
          <w:sz w:val="24"/>
          <w:szCs w:val="24"/>
        </w:rPr>
        <w:t>Belediye Başkanlığı</w:t>
      </w:r>
      <w:r>
        <w:rPr>
          <w:rFonts w:cs="Times New Roman"/>
          <w:iCs/>
          <w:color w:val="000000"/>
          <w:sz w:val="24"/>
          <w:szCs w:val="24"/>
        </w:rPr>
        <w:t>’nın</w:t>
      </w:r>
      <w:r>
        <w:rPr>
          <w:rFonts w:cs="Times New Roman"/>
          <w:iCs/>
          <w:color w:val="000000"/>
          <w:sz w:val="24"/>
          <w:szCs w:val="24"/>
        </w:rPr>
        <w:t xml:space="preserve"> yazılı onayı ile çalışılan alt yüklenici firmalarda, 6698 Sayılı Kanu</w:t>
      </w:r>
      <w:r>
        <w:rPr>
          <w:rFonts w:cs="Times New Roman"/>
          <w:iCs/>
          <w:color w:val="000000"/>
          <w:sz w:val="24"/>
          <w:szCs w:val="24"/>
        </w:rPr>
        <w:t xml:space="preserve">n hükümlerinin uygulanmasını sağlamak amacıyla Kanun kapsamında gerekli denetimleri yapmak veya yaptırmak zorundadır. ŞİRKET işbu protokolü imzalamakla, </w:t>
      </w:r>
      <w:r w:rsidR="00605F92">
        <w:rPr>
          <w:rFonts w:cs="Times New Roman"/>
          <w:color w:val="000000"/>
          <w:sz w:val="24"/>
          <w:szCs w:val="24"/>
        </w:rPr>
        <w:t>Bayburt</w:t>
      </w:r>
      <w:r>
        <w:rPr>
          <w:rFonts w:cs="Times New Roman"/>
          <w:iCs/>
          <w:color w:val="000000"/>
          <w:sz w:val="24"/>
          <w:szCs w:val="24"/>
        </w:rPr>
        <w:t xml:space="preserve"> Belediye Başkanlığı</w:t>
      </w:r>
      <w:r>
        <w:rPr>
          <w:rFonts w:cs="Times New Roman"/>
          <w:iCs/>
          <w:color w:val="000000"/>
          <w:sz w:val="24"/>
          <w:szCs w:val="24"/>
        </w:rPr>
        <w:t xml:space="preserve">’nın </w:t>
      </w:r>
      <w:r>
        <w:rPr>
          <w:rFonts w:cs="Times New Roman"/>
          <w:iCs/>
          <w:color w:val="000000"/>
          <w:sz w:val="24"/>
          <w:szCs w:val="24"/>
        </w:rPr>
        <w:t xml:space="preserve">denetim ile görevlendireceği kişilerin </w:t>
      </w:r>
      <w:proofErr w:type="spellStart"/>
      <w:r>
        <w:rPr>
          <w:rFonts w:cs="Times New Roman"/>
          <w:iCs/>
          <w:color w:val="000000"/>
          <w:sz w:val="24"/>
          <w:szCs w:val="24"/>
        </w:rPr>
        <w:t>ŞİRKET’in</w:t>
      </w:r>
      <w:proofErr w:type="spellEnd"/>
      <w:r>
        <w:rPr>
          <w:rFonts w:cs="Times New Roman"/>
          <w:iCs/>
          <w:color w:val="000000"/>
          <w:sz w:val="24"/>
          <w:szCs w:val="24"/>
        </w:rPr>
        <w:t xml:space="preserve"> yükümlendiği edimler</w:t>
      </w:r>
      <w:r>
        <w:rPr>
          <w:rFonts w:cs="Times New Roman"/>
          <w:iCs/>
          <w:color w:val="000000"/>
          <w:sz w:val="24"/>
          <w:szCs w:val="24"/>
        </w:rPr>
        <w:t xml:space="preserve"> ile ilgili olarak kendisinden her türlü bilgi ve belgeyi talep etme yetkisinin bulunduğunu, bu denetimlerin yapılabilmesi için bilgi işlem sistemleri ile kayıt ve defterlerinin </w:t>
      </w:r>
      <w:r w:rsidR="00605F92">
        <w:rPr>
          <w:rFonts w:cs="Times New Roman"/>
          <w:color w:val="000000"/>
          <w:sz w:val="24"/>
          <w:szCs w:val="24"/>
        </w:rPr>
        <w:t>Bayburt</w:t>
      </w:r>
      <w:r>
        <w:rPr>
          <w:rFonts w:eastAsia="Calibri" w:cs="Times New Roman"/>
          <w:iCs/>
          <w:color w:val="000000"/>
          <w:sz w:val="24"/>
          <w:szCs w:val="24"/>
        </w:rPr>
        <w:t xml:space="preserve"> </w:t>
      </w:r>
      <w:r>
        <w:rPr>
          <w:rFonts w:cs="Times New Roman"/>
          <w:iCs/>
          <w:color w:val="000000"/>
          <w:sz w:val="24"/>
          <w:szCs w:val="24"/>
        </w:rPr>
        <w:t>Belediye Başkanlığı</w:t>
      </w:r>
      <w:r>
        <w:rPr>
          <w:rFonts w:cs="Times New Roman"/>
          <w:iCs/>
          <w:color w:val="000000"/>
          <w:sz w:val="24"/>
          <w:szCs w:val="24"/>
        </w:rPr>
        <w:t>’nın</w:t>
      </w:r>
      <w:r>
        <w:rPr>
          <w:rFonts w:cs="Times New Roman"/>
          <w:iCs/>
          <w:color w:val="000000"/>
          <w:sz w:val="24"/>
          <w:szCs w:val="24"/>
        </w:rPr>
        <w:t xml:space="preserve"> denetimine açık tutulacağını kabul ve taahhü</w:t>
      </w:r>
      <w:r>
        <w:rPr>
          <w:rFonts w:cs="Times New Roman"/>
          <w:iCs/>
          <w:color w:val="000000"/>
          <w:sz w:val="24"/>
          <w:szCs w:val="24"/>
        </w:rPr>
        <w:t>t eder.</w:t>
      </w:r>
      <w:r>
        <w:rPr>
          <w:rFonts w:cs="Times New Roman"/>
          <w:iCs/>
          <w:color w:val="000000"/>
          <w:sz w:val="24"/>
          <w:szCs w:val="24"/>
        </w:rPr>
        <w:tab/>
      </w:r>
    </w:p>
    <w:p w14:paraId="1EA7E7A5" w14:textId="77777777" w:rsidR="007C3187" w:rsidRDefault="007C3187">
      <w:pPr>
        <w:spacing w:after="0" w:line="240" w:lineRule="auto"/>
        <w:jc w:val="both"/>
        <w:rPr>
          <w:rFonts w:ascii="Calibri" w:hAnsi="Calibri" w:cs="Times New Roman"/>
          <w:iCs/>
          <w:color w:val="000000"/>
          <w:sz w:val="24"/>
          <w:szCs w:val="24"/>
        </w:rPr>
      </w:pPr>
    </w:p>
    <w:p w14:paraId="2A6E69CD" w14:textId="2F0F11FF" w:rsidR="007C3187" w:rsidRDefault="00B64E1A">
      <w:pPr>
        <w:pStyle w:val="ListeParagraf"/>
        <w:numPr>
          <w:ilvl w:val="0"/>
          <w:numId w:val="1"/>
        </w:numPr>
        <w:spacing w:after="0" w:line="240" w:lineRule="auto"/>
        <w:jc w:val="both"/>
        <w:rPr>
          <w:rFonts w:ascii="Calibri" w:hAnsi="Calibri"/>
        </w:rPr>
      </w:pPr>
      <w:r>
        <w:rPr>
          <w:rFonts w:cs="Times New Roman"/>
          <w:iCs/>
          <w:color w:val="000000"/>
          <w:sz w:val="24"/>
          <w:szCs w:val="24"/>
        </w:rPr>
        <w:t xml:space="preserve">ŞİRKET, işlenen kişisel verilerin kanuni olmayan yollarla başkaları tarafından elde edilmesi hâlinde, bu durumu derhal </w:t>
      </w:r>
      <w:r w:rsidR="00605F92">
        <w:rPr>
          <w:rFonts w:cs="Times New Roman"/>
          <w:color w:val="000000"/>
          <w:sz w:val="24"/>
          <w:szCs w:val="24"/>
        </w:rPr>
        <w:t>Bayburt</w:t>
      </w:r>
      <w:r>
        <w:rPr>
          <w:rFonts w:cs="Times New Roman"/>
          <w:iCs/>
          <w:color w:val="000000"/>
          <w:sz w:val="24"/>
          <w:szCs w:val="24"/>
        </w:rPr>
        <w:t xml:space="preserve"> Belediye Başkanlığı</w:t>
      </w:r>
      <w:r>
        <w:rPr>
          <w:rFonts w:cs="Times New Roman"/>
          <w:iCs/>
          <w:color w:val="000000"/>
          <w:sz w:val="24"/>
          <w:szCs w:val="24"/>
        </w:rPr>
        <w:t>’na</w:t>
      </w:r>
      <w:r>
        <w:rPr>
          <w:rFonts w:cs="Times New Roman"/>
          <w:iCs/>
          <w:color w:val="000000"/>
          <w:sz w:val="24"/>
          <w:szCs w:val="24"/>
        </w:rPr>
        <w:t xml:space="preserve"> güvenli olan bir yolla bildirmeyi kabul, beyan ve taahhüt eder. </w:t>
      </w:r>
    </w:p>
    <w:p w14:paraId="68DDB48A" w14:textId="77777777" w:rsidR="007C3187" w:rsidRDefault="007C3187">
      <w:pPr>
        <w:spacing w:after="0" w:line="240" w:lineRule="auto"/>
        <w:jc w:val="both"/>
        <w:rPr>
          <w:rFonts w:ascii="Calibri" w:hAnsi="Calibri" w:cs="Times New Roman"/>
          <w:iCs/>
          <w:color w:val="000000"/>
          <w:sz w:val="24"/>
          <w:szCs w:val="24"/>
        </w:rPr>
      </w:pPr>
    </w:p>
    <w:p w14:paraId="1C63EE86" w14:textId="77777777" w:rsidR="007C3187" w:rsidRDefault="00B64E1A">
      <w:pPr>
        <w:pStyle w:val="ListeParagraf"/>
        <w:numPr>
          <w:ilvl w:val="0"/>
          <w:numId w:val="1"/>
        </w:numPr>
        <w:spacing w:after="0" w:line="240" w:lineRule="auto"/>
        <w:jc w:val="both"/>
        <w:rPr>
          <w:rFonts w:ascii="Calibri" w:hAnsi="Calibri"/>
        </w:rPr>
      </w:pPr>
      <w:r>
        <w:rPr>
          <w:rFonts w:cs="Times New Roman"/>
          <w:iCs/>
          <w:color w:val="000000"/>
          <w:sz w:val="24"/>
          <w:szCs w:val="24"/>
        </w:rPr>
        <w:t>ŞİRKET, 6698 Sayılı Yasanın 22. maddesi kapsamında Kişisel Verileri Koruma Kurulu’na verilen yetkiler kapsamında yapılacak denetimlerde Kurul tarafından talep edilecek her türlü bilgi ve be</w:t>
      </w:r>
      <w:r>
        <w:rPr>
          <w:rFonts w:cs="Times New Roman"/>
          <w:iCs/>
          <w:color w:val="000000"/>
          <w:sz w:val="24"/>
          <w:szCs w:val="24"/>
        </w:rPr>
        <w:t>lgeyi zamanında ve doğru olarak vermekle ve bunlara ilişkin her türlü elektronik, manyetik ve benzeri ortamlardaki kayıtları ve bu kayıtlara erişim ve kayıtları okunabilir hale getirmek için gerekli tüm sistem ve şifreleri incelemeye hazır bulundurmak ve i</w:t>
      </w:r>
      <w:r>
        <w:rPr>
          <w:rFonts w:cs="Times New Roman"/>
          <w:iCs/>
          <w:color w:val="000000"/>
          <w:sz w:val="24"/>
          <w:szCs w:val="24"/>
        </w:rPr>
        <w:t>şletmekle yükümlüdür.</w:t>
      </w:r>
    </w:p>
    <w:p w14:paraId="40C23CBB" w14:textId="77777777" w:rsidR="007C3187" w:rsidRDefault="007C3187">
      <w:pPr>
        <w:spacing w:after="0" w:line="240" w:lineRule="auto"/>
        <w:jc w:val="both"/>
        <w:rPr>
          <w:rFonts w:ascii="Calibri" w:hAnsi="Calibri" w:cs="Times New Roman"/>
          <w:iCs/>
          <w:color w:val="000000"/>
          <w:sz w:val="24"/>
          <w:szCs w:val="24"/>
        </w:rPr>
      </w:pPr>
    </w:p>
    <w:p w14:paraId="76A0B8A8" w14:textId="46B5E4E9" w:rsidR="007C3187" w:rsidRDefault="00B64E1A">
      <w:pPr>
        <w:pStyle w:val="ListeParagraf"/>
        <w:numPr>
          <w:ilvl w:val="0"/>
          <w:numId w:val="1"/>
        </w:numPr>
        <w:spacing w:after="0" w:line="240" w:lineRule="auto"/>
        <w:jc w:val="both"/>
        <w:rPr>
          <w:rFonts w:ascii="Calibri" w:hAnsi="Calibri"/>
        </w:rPr>
      </w:pPr>
      <w:r>
        <w:rPr>
          <w:rFonts w:cs="Times New Roman"/>
          <w:iCs/>
          <w:color w:val="000000"/>
          <w:sz w:val="24"/>
          <w:szCs w:val="24"/>
        </w:rPr>
        <w:t>ŞİRKET,</w:t>
      </w:r>
      <w:r w:rsidR="00605F92" w:rsidRPr="00605F92">
        <w:rPr>
          <w:rFonts w:cs="Times New Roman"/>
          <w:color w:val="000000"/>
          <w:sz w:val="24"/>
          <w:szCs w:val="24"/>
        </w:rPr>
        <w:t xml:space="preserve"> </w:t>
      </w:r>
      <w:r w:rsidR="00605F92">
        <w:rPr>
          <w:rFonts w:cs="Times New Roman"/>
          <w:color w:val="000000"/>
          <w:sz w:val="24"/>
          <w:szCs w:val="24"/>
        </w:rPr>
        <w:t xml:space="preserve">Bayburt </w:t>
      </w:r>
      <w:r>
        <w:rPr>
          <w:rFonts w:cs="Times New Roman"/>
          <w:iCs/>
          <w:color w:val="000000"/>
          <w:sz w:val="24"/>
          <w:szCs w:val="24"/>
        </w:rPr>
        <w:t>Belediye Başkanlığı tarafından kendisine teslim edilen kişisel verilerin 6698 sayılı Kanun’daki istisnalar saklı kalmak kaydı ile muhafazası ve açıklanmaması için her türlü güvenlik önlemlerini almak, personelini bilgilendirmek, eğitmek ve Kanun kapsamınd</w:t>
      </w:r>
      <w:r>
        <w:rPr>
          <w:rFonts w:cs="Times New Roman"/>
          <w:iCs/>
          <w:color w:val="000000"/>
          <w:sz w:val="24"/>
          <w:szCs w:val="24"/>
        </w:rPr>
        <w:t xml:space="preserve">aki yükümlülüklerin yerine getirilmesini sağlamak için gerekli hukuki düzenlemeleri yapmak ve bunları sürdürmekle mükelleftir. </w:t>
      </w:r>
    </w:p>
    <w:p w14:paraId="0ED9065C" w14:textId="77777777" w:rsidR="007C3187" w:rsidRDefault="007C3187">
      <w:pPr>
        <w:pStyle w:val="ListeParagraf"/>
        <w:spacing w:line="240" w:lineRule="auto"/>
        <w:ind w:left="360"/>
        <w:rPr>
          <w:rFonts w:ascii="Calibri" w:hAnsi="Calibri" w:cs="Times New Roman"/>
          <w:sz w:val="24"/>
          <w:szCs w:val="24"/>
        </w:rPr>
      </w:pPr>
    </w:p>
    <w:p w14:paraId="36D5BEAE" w14:textId="30573C33" w:rsidR="007C3187" w:rsidRDefault="00B64E1A">
      <w:pPr>
        <w:pStyle w:val="ListeParagraf"/>
        <w:numPr>
          <w:ilvl w:val="0"/>
          <w:numId w:val="1"/>
        </w:numPr>
        <w:spacing w:line="240" w:lineRule="auto"/>
        <w:jc w:val="both"/>
        <w:rPr>
          <w:rFonts w:ascii="Calibri" w:hAnsi="Calibri"/>
        </w:rPr>
      </w:pPr>
      <w:r>
        <w:rPr>
          <w:rFonts w:cs="Times New Roman"/>
          <w:iCs/>
          <w:color w:val="000000"/>
          <w:sz w:val="24"/>
          <w:szCs w:val="24"/>
        </w:rPr>
        <w:t xml:space="preserve">ŞİRKET, sözleşmeye konu olan hizmetlerin ifasında, </w:t>
      </w:r>
      <w:r w:rsidR="00605F92">
        <w:rPr>
          <w:rFonts w:cs="Times New Roman"/>
          <w:color w:val="000000"/>
          <w:sz w:val="24"/>
          <w:szCs w:val="24"/>
        </w:rPr>
        <w:t>Bayburt</w:t>
      </w:r>
      <w:r>
        <w:rPr>
          <w:rFonts w:cs="Times New Roman"/>
          <w:iCs/>
          <w:color w:val="000000"/>
          <w:sz w:val="24"/>
          <w:szCs w:val="24"/>
        </w:rPr>
        <w:t xml:space="preserve"> Belediye Başkanlığı</w:t>
      </w:r>
      <w:r>
        <w:rPr>
          <w:rFonts w:cs="Times New Roman"/>
          <w:iCs/>
          <w:color w:val="000000"/>
          <w:sz w:val="24"/>
          <w:szCs w:val="24"/>
        </w:rPr>
        <w:t>’nın</w:t>
      </w:r>
      <w:r>
        <w:rPr>
          <w:rFonts w:cs="Times New Roman"/>
          <w:iCs/>
          <w:color w:val="000000"/>
          <w:sz w:val="24"/>
          <w:szCs w:val="24"/>
        </w:rPr>
        <w:t xml:space="preserve"> yazılı onayı ile alt yüklenici kullanılmas</w:t>
      </w:r>
      <w:r>
        <w:rPr>
          <w:rFonts w:cs="Times New Roman"/>
          <w:iCs/>
          <w:color w:val="000000"/>
          <w:sz w:val="24"/>
          <w:szCs w:val="24"/>
        </w:rPr>
        <w:t xml:space="preserve">ı halinde, yukarıdaki yer alan hükümlere, alt yüklenici firmalar ile yapılacak sözleşmelerde ve protokollerde de aynen yer vereceğini ve bu firmaların işbu hükümleri ihlal etmesinden kaynaklanabilecek her türlü zararın tazmininden, bu firmalarla birlikte </w:t>
      </w:r>
      <w:r w:rsidR="00605F92">
        <w:rPr>
          <w:rFonts w:cs="Times New Roman"/>
          <w:color w:val="000000"/>
          <w:sz w:val="24"/>
          <w:szCs w:val="24"/>
        </w:rPr>
        <w:t>Bayburt</w:t>
      </w:r>
      <w:r>
        <w:rPr>
          <w:rFonts w:cs="Times New Roman"/>
          <w:iCs/>
          <w:color w:val="000000"/>
          <w:sz w:val="24"/>
          <w:szCs w:val="24"/>
        </w:rPr>
        <w:t xml:space="preserve"> Belediye Başkanlığı</w:t>
      </w:r>
      <w:r>
        <w:rPr>
          <w:rFonts w:cs="Times New Roman"/>
          <w:iCs/>
          <w:color w:val="000000"/>
          <w:sz w:val="24"/>
          <w:szCs w:val="24"/>
        </w:rPr>
        <w:t>’na</w:t>
      </w:r>
      <w:r>
        <w:rPr>
          <w:rFonts w:cs="Times New Roman"/>
          <w:iCs/>
          <w:color w:val="000000"/>
          <w:sz w:val="24"/>
          <w:szCs w:val="24"/>
        </w:rPr>
        <w:t xml:space="preserve"> karşı müşterek ve müteselsil sorumluluğu bulunduğunu kabul ve taahhüt eder.                                                                                                                                                     </w:t>
      </w:r>
      <w:r>
        <w:rPr>
          <w:rFonts w:cs="Times New Roman"/>
          <w:iCs/>
          <w:color w:val="000000"/>
          <w:sz w:val="24"/>
          <w:szCs w:val="24"/>
        </w:rPr>
        <w:t xml:space="preserve">              </w:t>
      </w:r>
    </w:p>
    <w:p w14:paraId="4100E916" w14:textId="77777777" w:rsidR="007C3187" w:rsidRDefault="007C3187">
      <w:pPr>
        <w:widowControl w:val="0"/>
        <w:spacing w:line="240" w:lineRule="auto"/>
        <w:ind w:right="213"/>
        <w:jc w:val="both"/>
        <w:rPr>
          <w:rFonts w:ascii="Calibri" w:hAnsi="Calibri"/>
        </w:rPr>
      </w:pPr>
    </w:p>
    <w:p w14:paraId="5AFABC98" w14:textId="77777777" w:rsidR="007C3187" w:rsidRDefault="00B64E1A">
      <w:pPr>
        <w:widowControl w:val="0"/>
        <w:spacing w:line="240" w:lineRule="auto"/>
        <w:ind w:right="213"/>
        <w:jc w:val="both"/>
        <w:rPr>
          <w:rFonts w:ascii="Calibri" w:hAnsi="Calibri"/>
        </w:rPr>
      </w:pPr>
      <w:r>
        <w:rPr>
          <w:rFonts w:cs="Times New Roman"/>
          <w:sz w:val="24"/>
          <w:szCs w:val="24"/>
          <w:lang w:eastAsia="tr-TR"/>
        </w:rPr>
        <w:t xml:space="preserve">Yukarıdaki hükümler dahilinde işbu Protokol </w:t>
      </w:r>
      <w:proofErr w:type="gramStart"/>
      <w:r>
        <w:rPr>
          <w:rFonts w:cs="Times New Roman"/>
          <w:sz w:val="24"/>
          <w:szCs w:val="24"/>
          <w:lang w:eastAsia="tr-TR"/>
        </w:rPr>
        <w:t xml:space="preserve"> </w:t>
      </w:r>
      <w:r>
        <w:rPr>
          <w:rFonts w:cs="Times New Roman"/>
          <w:sz w:val="24"/>
          <w:szCs w:val="24"/>
          <w:lang w:eastAsia="tr-TR"/>
        </w:rPr>
        <w:t>….</w:t>
      </w:r>
      <w:proofErr w:type="gramEnd"/>
      <w:r>
        <w:rPr>
          <w:rFonts w:cs="Times New Roman"/>
          <w:sz w:val="24"/>
          <w:szCs w:val="24"/>
          <w:lang w:eastAsia="tr-TR"/>
        </w:rPr>
        <w:t>/…./….</w:t>
      </w:r>
      <w:r>
        <w:rPr>
          <w:rFonts w:cs="Times New Roman"/>
          <w:sz w:val="24"/>
          <w:szCs w:val="24"/>
          <w:lang w:eastAsia="tr-TR"/>
        </w:rPr>
        <w:t xml:space="preserve"> </w:t>
      </w:r>
      <w:proofErr w:type="gramStart"/>
      <w:r>
        <w:rPr>
          <w:rFonts w:cs="Times New Roman"/>
          <w:sz w:val="24"/>
          <w:szCs w:val="24"/>
          <w:lang w:eastAsia="tr-TR"/>
        </w:rPr>
        <w:t>imza</w:t>
      </w:r>
      <w:proofErr w:type="gramEnd"/>
      <w:r>
        <w:rPr>
          <w:rFonts w:cs="Times New Roman"/>
          <w:sz w:val="24"/>
          <w:szCs w:val="24"/>
          <w:lang w:eastAsia="tr-TR"/>
        </w:rPr>
        <w:t xml:space="preserve"> tarihli sözleşmeye ek olarak </w:t>
      </w:r>
      <w:r>
        <w:rPr>
          <w:rFonts w:cs="Times New Roman"/>
          <w:sz w:val="24"/>
          <w:szCs w:val="24"/>
          <w:lang w:eastAsia="tr-TR"/>
        </w:rPr>
        <w:t>..../..../..</w:t>
      </w:r>
      <w:r>
        <w:rPr>
          <w:rFonts w:cs="Times New Roman"/>
          <w:sz w:val="24"/>
          <w:szCs w:val="24"/>
          <w:lang w:eastAsia="tr-TR"/>
        </w:rPr>
        <w:t xml:space="preserve"> </w:t>
      </w:r>
      <w:proofErr w:type="gramStart"/>
      <w:r>
        <w:rPr>
          <w:rFonts w:cs="Times New Roman"/>
          <w:sz w:val="24"/>
          <w:szCs w:val="24"/>
          <w:lang w:eastAsia="tr-TR"/>
        </w:rPr>
        <w:lastRenderedPageBreak/>
        <w:t>tarihinde</w:t>
      </w:r>
      <w:proofErr w:type="gramEnd"/>
      <w:r>
        <w:rPr>
          <w:rFonts w:cs="Times New Roman"/>
          <w:sz w:val="24"/>
          <w:szCs w:val="24"/>
          <w:lang w:eastAsia="tr-TR"/>
        </w:rPr>
        <w:t xml:space="preserve"> imzalanmıştır.</w:t>
      </w:r>
    </w:p>
    <w:tbl>
      <w:tblPr>
        <w:tblW w:w="9548" w:type="dxa"/>
        <w:jc w:val="center"/>
        <w:tblLayout w:type="fixed"/>
        <w:tblLook w:val="0000" w:firstRow="0" w:lastRow="0" w:firstColumn="0" w:lastColumn="0" w:noHBand="0" w:noVBand="0"/>
      </w:tblPr>
      <w:tblGrid>
        <w:gridCol w:w="4773"/>
        <w:gridCol w:w="4775"/>
      </w:tblGrid>
      <w:tr w:rsidR="007C3187" w14:paraId="166049B4" w14:textId="77777777">
        <w:trPr>
          <w:trHeight w:val="1875"/>
          <w:jc w:val="center"/>
        </w:trPr>
        <w:tc>
          <w:tcPr>
            <w:tcW w:w="4773" w:type="dxa"/>
          </w:tcPr>
          <w:p w14:paraId="6021F79F" w14:textId="77777777" w:rsidR="007C3187" w:rsidRDefault="007C3187">
            <w:pPr>
              <w:widowControl w:val="0"/>
              <w:tabs>
                <w:tab w:val="center" w:pos="2552"/>
                <w:tab w:val="center" w:pos="7230"/>
              </w:tabs>
              <w:spacing w:after="0" w:line="240" w:lineRule="auto"/>
              <w:ind w:right="-153"/>
              <w:rPr>
                <w:rFonts w:ascii="Calibri" w:hAnsi="Calibri" w:cs="Times New Roman"/>
                <w:b/>
                <w:bCs/>
                <w:sz w:val="24"/>
                <w:szCs w:val="24"/>
                <w:lang w:eastAsia="tr-TR"/>
              </w:rPr>
            </w:pPr>
          </w:p>
          <w:p w14:paraId="122577E4" w14:textId="415609CF" w:rsidR="007C3187" w:rsidRDefault="00B64E1A">
            <w:pPr>
              <w:widowControl w:val="0"/>
              <w:tabs>
                <w:tab w:val="center" w:pos="2552"/>
                <w:tab w:val="center" w:pos="7230"/>
              </w:tabs>
              <w:spacing w:after="0" w:line="240" w:lineRule="auto"/>
              <w:ind w:right="-153"/>
            </w:pPr>
            <w:r>
              <w:rPr>
                <w:rFonts w:cs="Times New Roman"/>
                <w:b/>
                <w:bCs/>
                <w:sz w:val="24"/>
                <w:szCs w:val="24"/>
              </w:rPr>
              <w:t xml:space="preserve">T.C. </w:t>
            </w:r>
            <w:r w:rsidR="00605F92">
              <w:rPr>
                <w:rFonts w:cs="Times New Roman"/>
                <w:b/>
                <w:bCs/>
                <w:sz w:val="24"/>
                <w:szCs w:val="24"/>
              </w:rPr>
              <w:t>BAYBURT</w:t>
            </w:r>
            <w:r>
              <w:rPr>
                <w:rFonts w:cs="Times New Roman"/>
                <w:b/>
                <w:bCs/>
                <w:sz w:val="24"/>
                <w:szCs w:val="24"/>
              </w:rPr>
              <w:t xml:space="preserve"> </w:t>
            </w:r>
            <w:r>
              <w:rPr>
                <w:rFonts w:cs="Times New Roman"/>
                <w:b/>
                <w:bCs/>
                <w:sz w:val="24"/>
                <w:szCs w:val="24"/>
              </w:rPr>
              <w:t xml:space="preserve">BELEDİYE BAŞKANLIĞI </w:t>
            </w:r>
          </w:p>
        </w:tc>
        <w:tc>
          <w:tcPr>
            <w:tcW w:w="4774" w:type="dxa"/>
          </w:tcPr>
          <w:p w14:paraId="4275133C" w14:textId="77777777" w:rsidR="007C3187" w:rsidRDefault="007C3187">
            <w:pPr>
              <w:widowControl w:val="0"/>
              <w:tabs>
                <w:tab w:val="center" w:pos="2552"/>
                <w:tab w:val="center" w:pos="7230"/>
              </w:tabs>
              <w:spacing w:after="0" w:line="240" w:lineRule="auto"/>
              <w:ind w:right="-153"/>
              <w:rPr>
                <w:rFonts w:ascii="Calibri" w:hAnsi="Calibri" w:cs="Times New Roman"/>
                <w:sz w:val="24"/>
                <w:szCs w:val="24"/>
                <w:lang w:eastAsia="tr-TR"/>
              </w:rPr>
            </w:pPr>
          </w:p>
          <w:p w14:paraId="206FC17C" w14:textId="77777777" w:rsidR="007C3187" w:rsidRDefault="00B64E1A">
            <w:pPr>
              <w:widowControl w:val="0"/>
              <w:tabs>
                <w:tab w:val="center" w:pos="2552"/>
                <w:tab w:val="center" w:pos="7230"/>
              </w:tabs>
              <w:spacing w:after="0" w:line="240" w:lineRule="auto"/>
              <w:ind w:right="-153"/>
              <w:rPr>
                <w:rFonts w:ascii="Calibri" w:hAnsi="Calibri" w:cs="Times New Roman"/>
                <w:sz w:val="24"/>
                <w:szCs w:val="24"/>
                <w:lang w:eastAsia="tr-TR"/>
              </w:rPr>
            </w:pPr>
            <w:r>
              <w:rPr>
                <w:rFonts w:cs="Times New Roman"/>
                <w:sz w:val="24"/>
                <w:szCs w:val="24"/>
                <w:lang w:eastAsia="tr-TR"/>
              </w:rPr>
              <w:t xml:space="preserve">                         ………………………………</w:t>
            </w:r>
          </w:p>
          <w:p w14:paraId="7A5E7FF8" w14:textId="77777777" w:rsidR="007C3187" w:rsidRDefault="007C3187">
            <w:pPr>
              <w:widowControl w:val="0"/>
              <w:tabs>
                <w:tab w:val="center" w:pos="2552"/>
                <w:tab w:val="center" w:pos="7230"/>
              </w:tabs>
              <w:spacing w:after="0" w:line="240" w:lineRule="auto"/>
              <w:ind w:right="-153"/>
              <w:rPr>
                <w:rFonts w:ascii="Calibri" w:hAnsi="Calibri" w:cs="Times New Roman"/>
                <w:sz w:val="24"/>
                <w:szCs w:val="24"/>
                <w:lang w:eastAsia="tr-TR"/>
              </w:rPr>
            </w:pPr>
          </w:p>
        </w:tc>
      </w:tr>
    </w:tbl>
    <w:p w14:paraId="06F83491" w14:textId="77777777" w:rsidR="007C3187" w:rsidRDefault="007C3187">
      <w:pPr>
        <w:spacing w:line="240" w:lineRule="auto"/>
        <w:rPr>
          <w:rFonts w:ascii="Calibri" w:hAnsi="Calibri"/>
        </w:rPr>
      </w:pPr>
    </w:p>
    <w:sectPr w:rsidR="007C3187">
      <w:headerReference w:type="default" r:id="rId8"/>
      <w:pgSz w:w="11906" w:h="16838"/>
      <w:pgMar w:top="1440" w:right="1080" w:bottom="1440" w:left="1080" w:header="708" w:footer="0"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A968" w14:textId="77777777" w:rsidR="00B64E1A" w:rsidRDefault="00B64E1A">
      <w:pPr>
        <w:spacing w:after="0" w:line="240" w:lineRule="auto"/>
      </w:pPr>
      <w:r>
        <w:separator/>
      </w:r>
    </w:p>
  </w:endnote>
  <w:endnote w:type="continuationSeparator" w:id="0">
    <w:p w14:paraId="65F2F83B" w14:textId="77777777" w:rsidR="00B64E1A" w:rsidRDefault="00B6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11CA" w14:textId="77777777" w:rsidR="00B64E1A" w:rsidRDefault="00B64E1A">
      <w:pPr>
        <w:spacing w:after="0" w:line="240" w:lineRule="auto"/>
      </w:pPr>
      <w:r>
        <w:separator/>
      </w:r>
    </w:p>
  </w:footnote>
  <w:footnote w:type="continuationSeparator" w:id="0">
    <w:p w14:paraId="7984105C" w14:textId="77777777" w:rsidR="00B64E1A" w:rsidRDefault="00B64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D320" w14:textId="77777777" w:rsidR="007C3187" w:rsidRDefault="00B64E1A">
    <w:pPr>
      <w:pStyle w:val="stBilgi"/>
    </w:pPr>
    <w:r>
      <w:rPr>
        <w:noProof/>
      </w:rPr>
      <w:drawing>
        <wp:anchor distT="0" distB="0" distL="0" distR="0" simplePos="0" relativeHeight="4" behindDoc="1" locked="0" layoutInCell="0" allowOverlap="1" wp14:anchorId="677C3226" wp14:editId="7A30F620">
          <wp:simplePos x="0" y="0"/>
          <wp:positionH relativeFrom="column">
            <wp:posOffset>-519430</wp:posOffset>
          </wp:positionH>
          <wp:positionV relativeFrom="paragraph">
            <wp:posOffset>-311785</wp:posOffset>
          </wp:positionV>
          <wp:extent cx="1194435" cy="1229995"/>
          <wp:effectExtent l="0" t="0" r="5715" b="8255"/>
          <wp:wrapSquare wrapText="largest"/>
          <wp:docPr id="1"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4435" cy="1229995"/>
                  </a:xfrm>
                  <a:prstGeom prst="rect">
                    <a:avLst/>
                  </a:prstGeom>
                </pic:spPr>
              </pic:pic>
            </a:graphicData>
          </a:graphic>
          <wp14:sizeRelV relativeFrom="margin">
            <wp14:pctHeight>0</wp14:pctHeight>
          </wp14:sizeRelV>
        </wp:anchor>
      </w:drawing>
    </w:r>
  </w:p>
  <w:p w14:paraId="72764A70" w14:textId="77777777" w:rsidR="007C3187" w:rsidRDefault="007C3187">
    <w:pPr>
      <w:pStyle w:val="stBilgi"/>
    </w:pPr>
  </w:p>
  <w:p w14:paraId="3F12A665" w14:textId="77777777" w:rsidR="007C3187" w:rsidRDefault="007C3187">
    <w:pPr>
      <w:pStyle w:val="stBilgi"/>
    </w:pPr>
  </w:p>
  <w:p w14:paraId="49864656" w14:textId="77777777" w:rsidR="007C3187" w:rsidRDefault="007C3187">
    <w:pPr>
      <w:pStyle w:val="stBilgi"/>
    </w:pPr>
  </w:p>
  <w:p w14:paraId="3F451C52" w14:textId="77777777" w:rsidR="007C3187" w:rsidRDefault="007C3187">
    <w:pPr>
      <w:pStyle w:val="stBilgi"/>
    </w:pPr>
  </w:p>
  <w:p w14:paraId="595C4FC7" w14:textId="77777777" w:rsidR="007C3187" w:rsidRDefault="007C318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2EF"/>
    <w:multiLevelType w:val="multilevel"/>
    <w:tmpl w:val="E15E60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1390763"/>
    <w:multiLevelType w:val="multilevel"/>
    <w:tmpl w:val="38EE7B4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16cid:durableId="291524370">
    <w:abstractNumId w:val="1"/>
  </w:num>
  <w:num w:numId="2" w16cid:durableId="105173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87"/>
    <w:rsid w:val="00605F92"/>
    <w:rsid w:val="006F56F2"/>
    <w:rsid w:val="007C3187"/>
    <w:rsid w:val="00B64E1A"/>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1F48"/>
  <w15:docId w15:val="{EDC8EFDD-7255-47C4-901C-5E8703C1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F859A5"/>
    <w:rPr>
      <w:rFonts w:ascii="Tahoma" w:hAnsi="Tahoma" w:cs="Tahoma"/>
      <w:sz w:val="16"/>
      <w:szCs w:val="16"/>
    </w:rPr>
  </w:style>
  <w:style w:type="character" w:styleId="AklamaBavurusu">
    <w:name w:val="annotation reference"/>
    <w:basedOn w:val="VarsaylanParagrafYazTipi"/>
    <w:uiPriority w:val="99"/>
    <w:semiHidden/>
    <w:unhideWhenUsed/>
    <w:qFormat/>
    <w:rsid w:val="00F859A5"/>
    <w:rPr>
      <w:sz w:val="16"/>
      <w:szCs w:val="16"/>
    </w:rPr>
  </w:style>
  <w:style w:type="character" w:customStyle="1" w:styleId="AklamaMetniChar">
    <w:name w:val="Açıklama Metni Char"/>
    <w:basedOn w:val="VarsaylanParagrafYazTipi"/>
    <w:link w:val="AklamaMetni"/>
    <w:uiPriority w:val="99"/>
    <w:semiHidden/>
    <w:qFormat/>
    <w:rsid w:val="00F859A5"/>
    <w:rPr>
      <w:sz w:val="20"/>
      <w:szCs w:val="20"/>
    </w:rPr>
  </w:style>
  <w:style w:type="character" w:customStyle="1" w:styleId="AklamaKonusuChar">
    <w:name w:val="Açıklama Konusu Char"/>
    <w:basedOn w:val="AklamaMetniChar"/>
    <w:link w:val="AklamaKonusu"/>
    <w:uiPriority w:val="99"/>
    <w:semiHidden/>
    <w:qFormat/>
    <w:rsid w:val="00F859A5"/>
    <w:rPr>
      <w:b/>
      <w:bCs/>
      <w:sz w:val="20"/>
      <w:szCs w:val="20"/>
    </w:rPr>
  </w:style>
  <w:style w:type="character" w:customStyle="1" w:styleId="stBilgiChar">
    <w:name w:val="Üst Bilgi Char"/>
    <w:basedOn w:val="VarsaylanParagrafYazTipi"/>
    <w:uiPriority w:val="99"/>
    <w:qFormat/>
    <w:rsid w:val="00F410A8"/>
  </w:style>
  <w:style w:type="character" w:customStyle="1" w:styleId="AltBilgiChar">
    <w:name w:val="Alt Bilgi Char"/>
    <w:basedOn w:val="VarsaylanParagrafYazTipi"/>
    <w:link w:val="AltBilgi"/>
    <w:uiPriority w:val="99"/>
    <w:qFormat/>
    <w:rsid w:val="00F410A8"/>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ListeParagraf">
    <w:name w:val="List Paragraph"/>
    <w:basedOn w:val="Normal"/>
    <w:uiPriority w:val="34"/>
    <w:qFormat/>
    <w:rsid w:val="00677FA8"/>
    <w:pPr>
      <w:ind w:left="720"/>
      <w:contextualSpacing/>
    </w:pPr>
  </w:style>
  <w:style w:type="paragraph" w:styleId="BalonMetni">
    <w:name w:val="Balloon Text"/>
    <w:basedOn w:val="Normal"/>
    <w:link w:val="BalonMetniChar"/>
    <w:uiPriority w:val="99"/>
    <w:semiHidden/>
    <w:unhideWhenUsed/>
    <w:qFormat/>
    <w:rsid w:val="00F859A5"/>
    <w:pPr>
      <w:spacing w:after="0" w:line="240" w:lineRule="auto"/>
    </w:pPr>
    <w:rPr>
      <w:rFonts w:ascii="Tahoma" w:hAnsi="Tahoma" w:cs="Tahoma"/>
      <w:sz w:val="16"/>
      <w:szCs w:val="16"/>
    </w:rPr>
  </w:style>
  <w:style w:type="paragraph" w:styleId="AklamaMetni">
    <w:name w:val="annotation text"/>
    <w:basedOn w:val="Normal"/>
    <w:link w:val="AklamaMetniChar"/>
    <w:uiPriority w:val="99"/>
    <w:semiHidden/>
    <w:unhideWhenUsed/>
    <w:qFormat/>
    <w:rsid w:val="00F859A5"/>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sid w:val="00F859A5"/>
    <w:rPr>
      <w:b/>
      <w:bCs/>
    </w:rPr>
  </w:style>
  <w:style w:type="paragraph" w:customStyle="1" w:styleId="stvealtbilgi">
    <w:name w:val="Üst ve alt bilgi"/>
    <w:basedOn w:val="Normal"/>
    <w:qFormat/>
  </w:style>
  <w:style w:type="paragraph" w:styleId="stBilgi">
    <w:name w:val="header"/>
    <w:basedOn w:val="Normal"/>
    <w:uiPriority w:val="99"/>
    <w:unhideWhenUsed/>
    <w:rsid w:val="00F410A8"/>
    <w:pPr>
      <w:tabs>
        <w:tab w:val="center" w:pos="4703"/>
        <w:tab w:val="right" w:pos="9406"/>
      </w:tabs>
      <w:spacing w:after="0" w:line="240" w:lineRule="auto"/>
    </w:pPr>
  </w:style>
  <w:style w:type="paragraph" w:styleId="AltBilgi">
    <w:name w:val="footer"/>
    <w:basedOn w:val="Normal"/>
    <w:link w:val="AltBilgiChar"/>
    <w:uiPriority w:val="99"/>
    <w:unhideWhenUsed/>
    <w:rsid w:val="00F410A8"/>
    <w:pPr>
      <w:tabs>
        <w:tab w:val="center" w:pos="4703"/>
        <w:tab w:val="right" w:pos="9406"/>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E1B2A-97CF-4F00-8EB8-970528A4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977</Words>
  <Characters>5572</Characters>
  <Application>Microsoft Office Word</Application>
  <DocSecurity>0</DocSecurity>
  <Lines>46</Lines>
  <Paragraphs>13</Paragraphs>
  <ScaleCrop>false</ScaleCrop>
  <Company>TEKSTILBANK A.S</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yazar</dc:creator>
  <dc:description/>
  <cp:lastModifiedBy>betül yazar</cp:lastModifiedBy>
  <cp:revision>3</cp:revision>
  <dcterms:created xsi:type="dcterms:W3CDTF">2022-04-13T11:20:00Z</dcterms:created>
  <dcterms:modified xsi:type="dcterms:W3CDTF">2022-04-13T11:23:00Z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TEKSTILBANK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